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</w:t>
        <w:tab/>
        <w:tab/>
        <w:tab/>
        <w:tab/>
        <w:t xml:space="preserve">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1: Lesson 2 (Building a Park)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Euclid’s Explanation:</w:t>
        <w:tab/>
        <w:tab/>
        <w:tab/>
        <w:tab/>
        <w:tab/>
        <w:t xml:space="preserve">Normal People Explanation: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228295" cy="5214938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295" cy="521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Draw 3 different sized line segments. Use each line segment to construct an equilateral triangle: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Building Parks Problem: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Points P1 and P2 below represent two parks in a town. A planning committee wants to build a third park so that it is equidistant from the other two to better serve the community. Identify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b w:val="1"/>
          <w:rtl w:val="0"/>
        </w:rPr>
        <w:t xml:space="preserve"> possible locations for the third park. Label them as P3a and P3b. Then write a set of steps describing how you you found the two locations.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324552" cy="34242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552" cy="342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find the possible locations for the third park, I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